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88B3" w14:textId="41656103" w:rsidR="008A7018" w:rsidRDefault="008A7018" w:rsidP="008A7018">
      <w:pPr>
        <w:tabs>
          <w:tab w:val="left" w:pos="4768"/>
          <w:tab w:val="center" w:pos="6899"/>
        </w:tabs>
        <w:bidi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244580" wp14:editId="0402EA0A">
            <wp:simplePos x="0" y="0"/>
            <wp:positionH relativeFrom="margin">
              <wp:posOffset>4399915</wp:posOffset>
            </wp:positionH>
            <wp:positionV relativeFrom="paragraph">
              <wp:posOffset>-559435</wp:posOffset>
            </wp:positionV>
            <wp:extent cx="795758" cy="892175"/>
            <wp:effectExtent l="0" t="0" r="4445" b="317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58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9FA31" w14:textId="7A65E0C5" w:rsidR="008A7018" w:rsidRDefault="008A7018" w:rsidP="008A7018">
      <w:pPr>
        <w:tabs>
          <w:tab w:val="left" w:pos="4768"/>
          <w:tab w:val="center" w:pos="6899"/>
        </w:tabs>
        <w:bidi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sz w:val="32"/>
          <w:szCs w:val="32"/>
          <w:rtl/>
        </w:rPr>
        <w:tab/>
      </w:r>
    </w:p>
    <w:p w14:paraId="0460085D" w14:textId="440CBF0F" w:rsidR="008A7018" w:rsidRDefault="008A7018" w:rsidP="008A7018">
      <w:pPr>
        <w:bidi/>
        <w:jc w:val="center"/>
        <w:rPr>
          <w:rFonts w:cstheme="minorHAnsi"/>
          <w:b/>
          <w:bCs/>
          <w:sz w:val="32"/>
          <w:szCs w:val="32"/>
          <w:rtl/>
        </w:rPr>
      </w:pPr>
    </w:p>
    <w:p w14:paraId="732D941A" w14:textId="4B1BD160" w:rsidR="008A7018" w:rsidRPr="00636B14" w:rsidRDefault="0092792A" w:rsidP="008A7018">
      <w:pPr>
        <w:bidi/>
        <w:jc w:val="center"/>
        <w:rPr>
          <w:rFonts w:cstheme="minorHAnsi" w:hint="cs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6"/>
          <w:szCs w:val="36"/>
          <w:rtl/>
        </w:rPr>
        <w:t>مقياس التمييز</w:t>
      </w:r>
    </w:p>
    <w:p w14:paraId="36978BC1" w14:textId="77777777" w:rsidR="008A7018" w:rsidRPr="002B472F" w:rsidRDefault="008A7018" w:rsidP="008A7018">
      <w:pPr>
        <w:bidi/>
        <w:jc w:val="center"/>
        <w:rPr>
          <w:rFonts w:cstheme="minorHAnsi"/>
          <w:b/>
          <w:bCs/>
          <w:sz w:val="18"/>
          <w:szCs w:val="18"/>
          <w:u w:val="single"/>
          <w:rtl/>
        </w:rPr>
      </w:pPr>
    </w:p>
    <w:p w14:paraId="678FA876" w14:textId="0D3EB041" w:rsidR="001805CA" w:rsidRDefault="001805CA"/>
    <w:p w14:paraId="27225C80" w14:textId="6C4373D0" w:rsidR="001805CA" w:rsidRDefault="001805CA"/>
    <w:tbl>
      <w:tblPr>
        <w:tblStyle w:val="TableGrid"/>
        <w:bidiVisual/>
        <w:tblW w:w="1457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245"/>
        <w:gridCol w:w="2520"/>
        <w:gridCol w:w="2610"/>
        <w:gridCol w:w="2610"/>
        <w:gridCol w:w="2245"/>
        <w:gridCol w:w="2345"/>
      </w:tblGrid>
      <w:tr w:rsidR="0092792A" w:rsidRPr="005C2EB2" w14:paraId="7C05D1DA" w14:textId="77777777" w:rsidTr="0092792A">
        <w:trPr>
          <w:trHeight w:val="558"/>
        </w:trPr>
        <w:tc>
          <w:tcPr>
            <w:tcW w:w="2245" w:type="dxa"/>
            <w:shd w:val="clear" w:color="auto" w:fill="44546A" w:themeFill="text2"/>
            <w:vAlign w:val="center"/>
          </w:tcPr>
          <w:p w14:paraId="34A72E76" w14:textId="58F4508B" w:rsidR="0092792A" w:rsidRPr="0002086D" w:rsidRDefault="0092792A" w:rsidP="00486DEE">
            <w:pPr>
              <w:bidi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02086D">
              <w:rPr>
                <w:rFonts w:cstheme="minorHAnsi"/>
                <w:noProof/>
                <w:color w:val="FFFFFF" w:themeColor="background1"/>
              </w:rPr>
              <w:drawing>
                <wp:anchor distT="0" distB="0" distL="114300" distR="114300" simplePos="0" relativeHeight="251664384" behindDoc="0" locked="0" layoutInCell="1" allowOverlap="1" wp14:anchorId="28A8623A" wp14:editId="2FC2D497">
                  <wp:simplePos x="0" y="0"/>
                  <wp:positionH relativeFrom="column">
                    <wp:posOffset>7112000</wp:posOffset>
                  </wp:positionH>
                  <wp:positionV relativeFrom="paragraph">
                    <wp:posOffset>-387350</wp:posOffset>
                  </wp:positionV>
                  <wp:extent cx="1240790" cy="1414780"/>
                  <wp:effectExtent l="0" t="0" r="0" b="0"/>
                  <wp:wrapNone/>
                  <wp:docPr id="1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9565B-F2BA-0F4C-B434-478066B9A7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5549565B-F2BA-0F4C-B434-478066B9A7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5F1E3"/>
                              </a:clrFrom>
                              <a:clrTo>
                                <a:srgbClr val="F5F1E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4" t="11003" r="12436" b="6470"/>
                          <a:stretch/>
                        </pic:blipFill>
                        <pic:spPr>
                          <a:xfrm>
                            <a:off x="0" y="0"/>
                            <a:ext cx="124079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86D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732C5" wp14:editId="20C3B0E5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1917700</wp:posOffset>
                      </wp:positionV>
                      <wp:extent cx="2046605" cy="1403985"/>
                      <wp:effectExtent l="0" t="0" r="0" b="381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66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B4971" w14:textId="77777777" w:rsidR="0092792A" w:rsidRPr="00474777" w:rsidRDefault="0092792A" w:rsidP="0092792A">
                                  <w:pPr>
                                    <w:bidi/>
                                    <w:jc w:val="center"/>
                                    <w:rPr>
                                      <w:rFonts w:ascii="Segoe UI Semibold" w:hAnsi="Segoe UI Semibold" w:cs="Segoe UI Semibold"/>
                                      <w:color w:val="002060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 w:hint="cs"/>
                                      <w:color w:val="002060"/>
                                      <w:sz w:val="44"/>
                                      <w:szCs w:val="44"/>
                                      <w:rtl/>
                                    </w:rPr>
                                    <w:t xml:space="preserve">مقياس التميز للدراسة الذاتية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D732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1.6pt;margin-top:151pt;width:161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rHDgIAAPQDAAAOAAAAZHJzL2Uyb0RvYy54bWysU21v2yAQ/j5p/wHxfbHjxW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" filled="f" stroked="f">
                      <v:textbox style="mso-fit-shape-to-text:t">
                        <w:txbxContent>
                          <w:p w14:paraId="266B4971" w14:textId="77777777" w:rsidR="0092792A" w:rsidRPr="00474777" w:rsidRDefault="0092792A" w:rsidP="0092792A">
                            <w:pPr>
                              <w:bidi/>
                              <w:jc w:val="center"/>
                              <w:rPr>
                                <w:rFonts w:ascii="Segoe UI Semibold" w:hAnsi="Segoe UI Semibold" w:cs="Segoe UI Semibold"/>
                                <w:color w:val="00206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مقياس التميز للدراسة الذاتية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086D">
              <w:rPr>
                <w:rFonts w:cstheme="minorHAnsi"/>
                <w:color w:val="FFFFFF" w:themeColor="background1"/>
              </w:rPr>
              <w:br w:type="page"/>
            </w:r>
            <w:r w:rsidRPr="0002086D">
              <w:rPr>
                <w:rFonts w:cstheme="minorHAnsi"/>
                <w:b/>
                <w:bCs/>
                <w:color w:val="FFFFFF" w:themeColor="background1"/>
                <w:rtl/>
              </w:rPr>
              <w:t>أبعاد القياس</w:t>
            </w:r>
          </w:p>
        </w:tc>
        <w:tc>
          <w:tcPr>
            <w:tcW w:w="2520" w:type="dxa"/>
            <w:shd w:val="clear" w:color="auto" w:fill="CC9900"/>
            <w:vAlign w:val="center"/>
          </w:tcPr>
          <w:p w14:paraId="0CAE3412" w14:textId="77777777" w:rsidR="0092792A" w:rsidRPr="005C2EB2" w:rsidRDefault="0092792A" w:rsidP="00486DEE">
            <w:pPr>
              <w:bidi/>
              <w:jc w:val="center"/>
              <w:rPr>
                <w:rFonts w:cs="Fanan"/>
                <w:color w:val="FFFFFF" w:themeColor="background1"/>
                <w:sz w:val="48"/>
                <w:szCs w:val="48"/>
                <w:rtl/>
              </w:rPr>
            </w:pPr>
            <w:r w:rsidRPr="005C2EB2">
              <w:rPr>
                <w:rFonts w:cs="Fanan" w:hint="cs"/>
                <w:color w:val="FFFFFF" w:themeColor="background1"/>
                <w:sz w:val="48"/>
                <w:szCs w:val="48"/>
                <w:rtl/>
              </w:rPr>
              <w:t>*</w:t>
            </w:r>
          </w:p>
        </w:tc>
        <w:tc>
          <w:tcPr>
            <w:tcW w:w="2610" w:type="dxa"/>
            <w:shd w:val="clear" w:color="auto" w:fill="CC9900"/>
            <w:vAlign w:val="center"/>
          </w:tcPr>
          <w:p w14:paraId="121049CB" w14:textId="77777777" w:rsidR="0092792A" w:rsidRPr="005C2EB2" w:rsidRDefault="0092792A" w:rsidP="00486DEE">
            <w:pPr>
              <w:bidi/>
              <w:jc w:val="center"/>
              <w:rPr>
                <w:rFonts w:cs="Fanan"/>
                <w:color w:val="FFFFFF" w:themeColor="background1"/>
                <w:sz w:val="48"/>
                <w:szCs w:val="48"/>
                <w:rtl/>
              </w:rPr>
            </w:pPr>
            <w:r w:rsidRPr="005C2EB2">
              <w:rPr>
                <w:rFonts w:cs="Fanan" w:hint="cs"/>
                <w:color w:val="FFFFFF" w:themeColor="background1"/>
                <w:sz w:val="48"/>
                <w:szCs w:val="48"/>
                <w:rtl/>
              </w:rPr>
              <w:t>**</w:t>
            </w:r>
          </w:p>
        </w:tc>
        <w:tc>
          <w:tcPr>
            <w:tcW w:w="2610" w:type="dxa"/>
            <w:shd w:val="clear" w:color="auto" w:fill="CC9900"/>
            <w:vAlign w:val="center"/>
          </w:tcPr>
          <w:p w14:paraId="15EBAD84" w14:textId="77777777" w:rsidR="0092792A" w:rsidRPr="005C2EB2" w:rsidRDefault="0092792A" w:rsidP="00486DEE">
            <w:pPr>
              <w:bidi/>
              <w:jc w:val="center"/>
              <w:rPr>
                <w:rFonts w:cs="Fanan"/>
                <w:color w:val="FFFFFF" w:themeColor="background1"/>
                <w:sz w:val="48"/>
                <w:szCs w:val="48"/>
                <w:rtl/>
              </w:rPr>
            </w:pPr>
            <w:r w:rsidRPr="005C2EB2">
              <w:rPr>
                <w:rFonts w:cs="Fanan" w:hint="cs"/>
                <w:color w:val="FFFFFF" w:themeColor="background1"/>
                <w:sz w:val="48"/>
                <w:szCs w:val="48"/>
                <w:rtl/>
              </w:rPr>
              <w:t>***</w:t>
            </w:r>
          </w:p>
        </w:tc>
        <w:tc>
          <w:tcPr>
            <w:tcW w:w="2245" w:type="dxa"/>
            <w:shd w:val="clear" w:color="auto" w:fill="CC9900"/>
            <w:vAlign w:val="center"/>
          </w:tcPr>
          <w:p w14:paraId="0D6C6059" w14:textId="77777777" w:rsidR="0092792A" w:rsidRPr="005C2EB2" w:rsidRDefault="0092792A" w:rsidP="00486DEE">
            <w:pPr>
              <w:bidi/>
              <w:jc w:val="center"/>
              <w:rPr>
                <w:rFonts w:cs="Fanan"/>
                <w:color w:val="FFFFFF" w:themeColor="background1"/>
                <w:sz w:val="48"/>
                <w:szCs w:val="48"/>
                <w:rtl/>
              </w:rPr>
            </w:pPr>
            <w:r w:rsidRPr="005C2EB2">
              <w:rPr>
                <w:rFonts w:cs="Fanan" w:hint="cs"/>
                <w:color w:val="FFFFFF" w:themeColor="background1"/>
                <w:sz w:val="48"/>
                <w:szCs w:val="48"/>
                <w:rtl/>
              </w:rPr>
              <w:t>****</w:t>
            </w:r>
          </w:p>
        </w:tc>
        <w:tc>
          <w:tcPr>
            <w:tcW w:w="2345" w:type="dxa"/>
            <w:shd w:val="clear" w:color="auto" w:fill="CC9900"/>
            <w:vAlign w:val="center"/>
          </w:tcPr>
          <w:p w14:paraId="11B8DD13" w14:textId="77777777" w:rsidR="0092792A" w:rsidRPr="005C2EB2" w:rsidRDefault="0092792A" w:rsidP="00486DEE">
            <w:pPr>
              <w:bidi/>
              <w:jc w:val="center"/>
              <w:rPr>
                <w:rFonts w:cs="Fanan"/>
                <w:color w:val="FFFFFF" w:themeColor="background1"/>
                <w:sz w:val="48"/>
                <w:szCs w:val="48"/>
                <w:rtl/>
              </w:rPr>
            </w:pPr>
            <w:r w:rsidRPr="005C2EB2">
              <w:rPr>
                <w:rFonts w:cs="Fanan" w:hint="cs"/>
                <w:color w:val="FFFFFF" w:themeColor="background1"/>
                <w:sz w:val="48"/>
                <w:szCs w:val="48"/>
                <w:rtl/>
              </w:rPr>
              <w:t>*****</w:t>
            </w:r>
          </w:p>
        </w:tc>
      </w:tr>
      <w:tr w:rsidR="0092792A" w:rsidRPr="005C2EB2" w14:paraId="0D4920E3" w14:textId="77777777" w:rsidTr="0092792A"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0650A1FE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الإشراف الأكاديمي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E63423F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توفر دليل للإشراف الأكاديمي و تخصيص ساعتي إرشاد أكاديمي في جدول عضو هيئة التدريس.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0F154D6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 xml:space="preserve">وجود ورش تدريبية لكفايات المشرف الأكاديمي-آليات معتمدة لتقييم فاعلية أداء المشرف الأكاديمي </w:t>
            </w:r>
            <w:r>
              <w:rPr>
                <w:rFonts w:cstheme="minorHAnsi" w:hint="cs"/>
                <w:sz w:val="18"/>
                <w:szCs w:val="18"/>
                <w:rtl/>
              </w:rPr>
              <w:t>ووضع خطط التحسين لها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550696F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عقد لقاءات إرشادية في الفصل الدراسي تحت إشراف إدارة الكلية. آليات معتمدة لتخصيص الطالب المشرف (إرشاد الأقران).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8E9C367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حصر الطلبة المنذرين و معرفة أسباب التعثر ووضع خطة التحسين لمتابعة تقدمهم.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1AFA3ED5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حصر الطلبة المتفوقين و الموهبين لرعايتهم و تحفيزهم.</w:t>
            </w:r>
          </w:p>
        </w:tc>
      </w:tr>
      <w:tr w:rsidR="0092792A" w:rsidRPr="005C2EB2" w14:paraId="7990FB71" w14:textId="77777777" w:rsidTr="0092792A"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497F5E16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>
              <w:rPr>
                <w:rFonts w:cstheme="minorHAnsi" w:hint="cs"/>
                <w:sz w:val="18"/>
                <w:szCs w:val="18"/>
                <w:rtl/>
              </w:rPr>
              <w:t xml:space="preserve">رعاية الطلبة </w:t>
            </w:r>
            <w:r w:rsidRPr="009A1D5B">
              <w:rPr>
                <w:rFonts w:cstheme="minorHAnsi"/>
                <w:sz w:val="18"/>
                <w:szCs w:val="18"/>
                <w:rtl/>
              </w:rPr>
              <w:t xml:space="preserve"> الموشكين على التعثر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6493F9E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الربط الإلكتروني بين المشرف الأكاديمي و الطالب.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31A7122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حصر الطلبة الموشكين علي التعثر إلكترونيا بناء على المعدل التراكمي و الفصلي.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872EBF0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حصر الطلبة الموشكين على التعثر إلكترونيا ً بناء على الغياب المتواصل لمدة أسبوعين.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0BD20DB6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تنبيه الطلبة الحاصلين على أقل من 60% في درجات أعمال السنة إلكترونيا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1464C973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 xml:space="preserve">تحليل تقارير طلبات الموشكين على التعثر ووضع خطط 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التحسين </w:t>
            </w:r>
            <w:r w:rsidRPr="009A1D5B">
              <w:rPr>
                <w:rFonts w:cstheme="minorHAnsi"/>
                <w:sz w:val="18"/>
                <w:szCs w:val="18"/>
                <w:rtl/>
              </w:rPr>
              <w:t>لها.</w:t>
            </w:r>
          </w:p>
        </w:tc>
      </w:tr>
      <w:tr w:rsidR="0092792A" w:rsidRPr="005C2EB2" w14:paraId="12E3E635" w14:textId="77777777" w:rsidTr="0092792A">
        <w:trPr>
          <w:trHeight w:val="1241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4A0B26DF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الدروس الإضافية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8DF0690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جدولة الساعات المكتبية و إعلانها للطلبة مع التزام الأستاذ بالحضور للرد علي استفسارات الطلبة.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F0B9C14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آلية استقبال استفسارات الطلبة من جميع الشعب من قبل أساتذة المقرر في الساعات المكتبية.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B6F75F8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وجود جدول معتمد ومعلن ومفعل لتقديم الدروس الإضافية من قبل الطلبة(الأقران)إلكترونيا.</w:t>
            </w:r>
          </w:p>
          <w:p w14:paraId="0E0D889C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(للمقررات الأعلى رسوبا).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83E7029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وجود جدول معتمد و معلن و مفعل لتقديم الدروس الإضافية من قبل الطلبة (الأقران) صفيا (للمقررات الأعلى رسوبا).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E61A42B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مصادر إلكترونية للموضوعات الأكثر صعوبة (للمقررات ذات النسب الأعلى رسوبا)</w:t>
            </w:r>
          </w:p>
        </w:tc>
      </w:tr>
      <w:tr w:rsidR="0092792A" w:rsidRPr="005C2EB2" w14:paraId="3D19B73E" w14:textId="77777777" w:rsidTr="0092792A">
        <w:trPr>
          <w:trHeight w:val="1160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4C0337E6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الأنشطة الطلابية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28458AF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توافر أنشطة طلابية منهجية و لا منهجية معلنة بالوسائل المتاحة.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A4AFB28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توافر معايير معلنة للمشاركة الطلابية بالأندية.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991EF3E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ارتباط الأنشطة الطلابية بخدمة المجتمع واحتياجات وميول الطلبة.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E9402D3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قياس أثر الأنشطة الطلابية المنهجية و اللامنهجية مع وضع خطة تحسين لها.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0F3D48AC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التسجيل الإلكتروني للأنشطة.</w:t>
            </w:r>
          </w:p>
        </w:tc>
      </w:tr>
      <w:tr w:rsidR="0092792A" w:rsidRPr="005C2EB2" w14:paraId="47042395" w14:textId="77777777" w:rsidTr="0092792A">
        <w:trPr>
          <w:trHeight w:val="1673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14:paraId="1E978750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الإرشاد الطلابي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62ECDF9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وجود كادر متخصص بالكلية لدراسة الحالة سواء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(نفسية/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أسرية/</w:t>
            </w:r>
          </w:p>
          <w:p w14:paraId="3CA08EFE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اجتماعية/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مهنية) من خلال وحدة الإرشاد الجامعي.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69A6F53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التفعيل و التسجيل الإلكتروني للدورات و الورش التدريبية (الوقائية/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العلاجية/ الإنمائية)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حسب تصنيف الفئات المستفيدة.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DADC72E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-حجز الموعد إلكترونيا مع المرشد النفسي</w:t>
            </w:r>
          </w:p>
          <w:p w14:paraId="2EBEE549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-التقييم الإلكتروني لفاعلية الإرشاد واستثمار النتائج في وضع خطط للتحسين.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6C6EF67C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-تفعيل خط ساخن معلن يستقبل كافة اتصالات الطلبة بسرية تامة.</w:t>
            </w:r>
          </w:p>
          <w:p w14:paraId="77F2F27F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-حصر و دراسة ومتابعة الحالات (نفسية/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أكاديمية/ أسرية/</w:t>
            </w:r>
            <w:r>
              <w:rPr>
                <w:rFonts w:cstheme="minorHAnsi" w:hint="cs"/>
                <w:sz w:val="18"/>
                <w:szCs w:val="18"/>
                <w:rtl/>
              </w:rPr>
              <w:t xml:space="preserve"> </w:t>
            </w:r>
            <w:r w:rsidRPr="009A1D5B">
              <w:rPr>
                <w:rFonts w:cstheme="minorHAnsi"/>
                <w:sz w:val="18"/>
                <w:szCs w:val="18"/>
                <w:rtl/>
              </w:rPr>
              <w:t>اجتماعية/ مهنية)</w:t>
            </w:r>
          </w:p>
          <w:p w14:paraId="3E4DF14A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إلكترونيا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14:paraId="4F2E872A" w14:textId="77777777" w:rsidR="0092792A" w:rsidRPr="009A1D5B" w:rsidRDefault="0092792A" w:rsidP="00486DEE">
            <w:pPr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9A1D5B">
              <w:rPr>
                <w:rFonts w:cstheme="minorHAnsi"/>
                <w:sz w:val="18"/>
                <w:szCs w:val="18"/>
                <w:rtl/>
              </w:rPr>
              <w:t>عمل فيديوهات توعوية في ضوء أكثر الحالات شيوعا بين الطلاب.</w:t>
            </w:r>
          </w:p>
        </w:tc>
      </w:tr>
    </w:tbl>
    <w:p w14:paraId="338BC92E" w14:textId="14B1B624" w:rsidR="001805CA" w:rsidRDefault="001805CA"/>
    <w:p w14:paraId="00A5410C" w14:textId="626BD048" w:rsidR="001805CA" w:rsidRDefault="001805CA"/>
    <w:p w14:paraId="5D2238F0" w14:textId="04EF46C7" w:rsidR="00DF10E3" w:rsidRDefault="00DF10E3"/>
    <w:p w14:paraId="6A7AEFDF" w14:textId="095124F8" w:rsidR="00DF10E3" w:rsidRDefault="00DF10E3"/>
    <w:p w14:paraId="61A403B4" w14:textId="6C2EEE46" w:rsidR="00DF10E3" w:rsidRDefault="00DF10E3"/>
    <w:sectPr w:rsidR="00DF10E3" w:rsidSect="008A7018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A1BD" w14:textId="77777777" w:rsidR="005720FD" w:rsidRDefault="005720FD" w:rsidP="008A7018">
      <w:r>
        <w:separator/>
      </w:r>
    </w:p>
  </w:endnote>
  <w:endnote w:type="continuationSeparator" w:id="0">
    <w:p w14:paraId="2F03DE56" w14:textId="77777777" w:rsidR="005720FD" w:rsidRDefault="005720FD" w:rsidP="008A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5733" w14:textId="77777777" w:rsidR="005720FD" w:rsidRDefault="005720FD" w:rsidP="008A7018">
      <w:r>
        <w:separator/>
      </w:r>
    </w:p>
  </w:footnote>
  <w:footnote w:type="continuationSeparator" w:id="0">
    <w:p w14:paraId="4E4A00E7" w14:textId="77777777" w:rsidR="005720FD" w:rsidRDefault="005720FD" w:rsidP="008A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4679" w14:textId="5FD6A3A6" w:rsidR="008A7018" w:rsidRDefault="008A7018">
    <w:pPr>
      <w:pStyle w:val="Header"/>
    </w:pPr>
    <w:r w:rsidRPr="00D314A6">
      <w:rPr>
        <w:noProof/>
      </w:rPr>
      <w:drawing>
        <wp:anchor distT="0" distB="0" distL="114300" distR="114300" simplePos="0" relativeHeight="251661312" behindDoc="0" locked="0" layoutInCell="1" allowOverlap="1" wp14:anchorId="485111AA" wp14:editId="07854632">
          <wp:simplePos x="0" y="0"/>
          <wp:positionH relativeFrom="column">
            <wp:posOffset>-281940</wp:posOffset>
          </wp:positionH>
          <wp:positionV relativeFrom="paragraph">
            <wp:posOffset>-313055</wp:posOffset>
          </wp:positionV>
          <wp:extent cx="737870" cy="763270"/>
          <wp:effectExtent l="0" t="0" r="5080" b="0"/>
          <wp:wrapNone/>
          <wp:docPr id="15" name="Picture 15" descr="C:\Users\maleraky\Desktop\LOGOs only\Academic Initiativ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eraky\Desktop\LOGOs only\Academic Initiativ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4A6">
      <w:rPr>
        <w:noProof/>
      </w:rPr>
      <w:drawing>
        <wp:anchor distT="0" distB="0" distL="114300" distR="114300" simplePos="0" relativeHeight="251659264" behindDoc="0" locked="0" layoutInCell="1" allowOverlap="1" wp14:anchorId="473522A6" wp14:editId="2C37971D">
          <wp:simplePos x="0" y="0"/>
          <wp:positionH relativeFrom="column">
            <wp:posOffset>8877300</wp:posOffset>
          </wp:positionH>
          <wp:positionV relativeFrom="paragraph">
            <wp:posOffset>-328295</wp:posOffset>
          </wp:positionV>
          <wp:extent cx="1171575" cy="657860"/>
          <wp:effectExtent l="0" t="0" r="9525" b="8890"/>
          <wp:wrapNone/>
          <wp:docPr id="14" name="Picture 14" descr="C:\Users\maleraky\Desktop\LOGOs only\وكالة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eraky\Desktop\LOGOs only\وكالة الجامع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18"/>
    <w:rsid w:val="00010917"/>
    <w:rsid w:val="00072E5F"/>
    <w:rsid w:val="000A30E7"/>
    <w:rsid w:val="000A6D7E"/>
    <w:rsid w:val="000E08F6"/>
    <w:rsid w:val="00121900"/>
    <w:rsid w:val="00175160"/>
    <w:rsid w:val="001805CA"/>
    <w:rsid w:val="002829F0"/>
    <w:rsid w:val="00394300"/>
    <w:rsid w:val="003C6FA9"/>
    <w:rsid w:val="003E1146"/>
    <w:rsid w:val="00435DDA"/>
    <w:rsid w:val="00471303"/>
    <w:rsid w:val="005720FD"/>
    <w:rsid w:val="00577E23"/>
    <w:rsid w:val="005E2364"/>
    <w:rsid w:val="00652D85"/>
    <w:rsid w:val="0074351C"/>
    <w:rsid w:val="008A7018"/>
    <w:rsid w:val="0092792A"/>
    <w:rsid w:val="0096421F"/>
    <w:rsid w:val="00A16662"/>
    <w:rsid w:val="00A17827"/>
    <w:rsid w:val="00A35D08"/>
    <w:rsid w:val="00B076C4"/>
    <w:rsid w:val="00C90136"/>
    <w:rsid w:val="00DC7EAC"/>
    <w:rsid w:val="00DF10E3"/>
    <w:rsid w:val="00DF6A09"/>
    <w:rsid w:val="00EB47F1"/>
    <w:rsid w:val="00F200CD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4A1A"/>
  <w15:chartTrackingRefBased/>
  <w15:docId w15:val="{FDCF1097-35DC-46E1-B83B-9B791D1C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0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Aljajze Hamad Almrry</dc:creator>
  <cp:keywords/>
  <dc:description/>
  <cp:lastModifiedBy>Dr. A Al-Dhawi</cp:lastModifiedBy>
  <cp:revision>3</cp:revision>
  <cp:lastPrinted>2021-01-27T06:10:00Z</cp:lastPrinted>
  <dcterms:created xsi:type="dcterms:W3CDTF">2021-10-16T19:46:00Z</dcterms:created>
  <dcterms:modified xsi:type="dcterms:W3CDTF">2021-10-16T19:50:00Z</dcterms:modified>
</cp:coreProperties>
</file>